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Участники конкурса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Важнейших результатов среди научной молодежи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ИАиЭ СО РАН</w:t>
      </w:r>
      <w:r/>
    </w:p>
    <w:tbl>
      <w:tblPr>
        <w:tblStyle w:val="708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409"/>
        <w:gridCol w:w="8220"/>
      </w:tblGrid>
      <w:tr>
        <w:tblPrEx/>
        <w:trPr>
          <w:trHeight w:val="138"/>
        </w:trPr>
        <w:tc>
          <w:tcPr>
            <w:tcW w:w="17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</w:rPr>
              <w:t xml:space="preserve">Участник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</w:rPr>
              <w:t xml:space="preserve">Соавторы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</w:p>
        </w:tc>
        <w:tc>
          <w:tcPr>
            <w:tcW w:w="822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</w:rPr>
              <w:t xml:space="preserve">Публикации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</w:p>
        </w:tc>
      </w:tr>
      <w:tr>
        <w:tblPrEx/>
        <w:trPr>
          <w:trHeight w:val="1288"/>
        </w:trPr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u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  <w:u w:val="none"/>
              </w:rPr>
              <w:t xml:space="preserve">В.А. Томилин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  <w:u w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  <w:highlight w:val="none"/>
                <w:u w:val="none"/>
              </w:rPr>
              <w:t xml:space="preserve">к.ф.-м.н,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  <w:u w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  <w:highlight w:val="none"/>
                <w:u w:val="none"/>
              </w:rPr>
              <w:t xml:space="preserve">02  лаб.,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  <w:u w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u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  <w:highlight w:val="none"/>
                <w:u w:val="none"/>
              </w:rPr>
              <w:t xml:space="preserve">11.04.1992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u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А.М. Ростом,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Л.В. Ильичёв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</w:rPr>
              <w:t xml:space="preserve">Геометрическая фаза для устройств на основе квантовой интерферометрии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</w:tc>
        <w:tc>
          <w:tcPr>
            <w:tcW w:w="8220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1"/>
              </w:numPr>
              <w:contextualSpacing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А.М. Ростом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В.А. Томилин, Л.В. Ильичёв,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Геометрическая фаза как основа квантовой гироскопии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ЖЭТФ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</w:rPr>
              <w:t xml:space="preserve">162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307-312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(2022).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pStyle w:val="856"/>
              <w:numPr>
                <w:ilvl w:val="0"/>
                <w:numId w:val="1"/>
              </w:numPr>
              <w:contextualSpacing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В.А. Томилин, А.М. Ростом,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Л.В. Ильичёв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«Конфигурация “барьер–яма” в схеме квантового гироскопа на основе геометрической фазы атомарного конденсата», Письма в ЖЭТФ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</w:rPr>
              <w:t xml:space="preserve">119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381-387-217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(2024).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pStyle w:val="856"/>
              <w:numPr>
                <w:ilvl w:val="0"/>
                <w:numId w:val="1"/>
              </w:numPr>
              <w:contextualSpacing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А.М. Ростом, В.А. Томилин, Л.В. Ильичёв, «Геометрическая фаза как основа квантовой акселерометрии», Письма в ЖЭТФ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560-567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(2024)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</w:tc>
      </w:tr>
      <w:tr>
        <w:tblPrEx/>
        <w:trPr>
          <w:trHeight w:val="1813"/>
        </w:trPr>
        <w:tc>
          <w:tcPr>
            <w:tcW w:w="17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17"/>
                <w:szCs w:val="17"/>
              </w:rPr>
              <w:t xml:space="preserve">А.Н. Омельченко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17"/>
                <w:szCs w:val="17"/>
                <w:highlight w:val="none"/>
              </w:rPr>
              <w:t xml:space="preserve">студент,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17"/>
                <w:szCs w:val="17"/>
                <w:highlight w:val="none"/>
              </w:rPr>
              <w:t xml:space="preserve">04 лаб.,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17"/>
                <w:szCs w:val="17"/>
                <w:highlight w:val="none"/>
              </w:rPr>
              <w:t xml:space="preserve">12.11.2001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К.А.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Окотруб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Н.В.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Суровцев,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Т.Н. Игонина,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Т.А. Рахманова,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С.В.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Окотруб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И.Н. Рожкова,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В.С.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Козенева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Е.Ю.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Брусенцев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С.Я. Амстиславский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</w:rPr>
              <w:t xml:space="preserve">Применение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</w:rPr>
              <w:t xml:space="preserve"> спектроскопии комбинационного рассеяния света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</w:rPr>
              <w:t xml:space="preserve"> дейтерированных меток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</w:rPr>
              <w:t xml:space="preserve">для исследования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</w:rPr>
              <w:t xml:space="preserve">метаболизма эмбрионов мыши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</w:p>
        </w:tc>
        <w:tc>
          <w:tcPr>
            <w:tcW w:w="8220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A N Omelchenko , T N Igonina, E Y Brusentsev, K A Okotrub, S Y Amstislavsky, N V Surovtsev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“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Cryopreservation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increases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accumulation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of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exogenous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stearic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acid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in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mouse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embryos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”,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Cryobiology. – 2022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. – Т. 109. – С. 44-52.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pStyle w:val="856"/>
              <w:numPr>
                <w:ilvl w:val="0"/>
                <w:numId w:val="2"/>
              </w:numPr>
              <w:contextualSpacing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Omelchenko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A. N., Okotrub K. A.,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Surovtsev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N. V.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“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Raman spectroscopy of yeast cells cultured on a deuterated substrate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”,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Spectrochimica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Acta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Part A: Molecular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and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Biomolecular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Spectroscopy. – 2023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. – Т. 303. – С. 123262.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pStyle w:val="856"/>
              <w:numPr>
                <w:ilvl w:val="0"/>
                <w:numId w:val="2"/>
              </w:numPr>
              <w:contextualSpacing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A.N. Omelchenko, K.A. Okotrub, T.N. Igonina, T.A. Rakhmanova, S.V. Okotrub, I.N. Rozhkova, V.S. Kozeneva, S.Ya. Amstislavsky, N.V. Surovtsev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“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Probing metabolism in mouse embryos using Raman spectroscopy and deuterium tags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”,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Spectrochimica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Acta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Part A: Molecular and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Biomolecular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Spectroscopy. – 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. – Т. 325. – С. 125044.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</w:tc>
      </w:tr>
      <w:tr>
        <w:tblPrEx/>
        <w:trPr/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Н.Р. Поддубровский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  <w:highlight w:val="none"/>
              </w:rPr>
              <w:t xml:space="preserve">аспирант,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  <w:highlight w:val="none"/>
              </w:rPr>
              <w:t xml:space="preserve">18 лаб.,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  <w:highlight w:val="none"/>
              </w:rPr>
              <w:t xml:space="preserve">02.06.2000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И.А. Лобач,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С.И. Каблуков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Распределенная сенсорика с использованием самосканирующего лазера с непрерывной динамикой интенсивности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8"/>
              </w:numPr>
              <w:ind w:left="0" w:right="0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shd w:val="clear" w:color="auto" w:fill="ffffff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white"/>
              </w:rPr>
              <w:t xml:space="preserve">Poddubrovskii, N.R.; Drobyshev, R.V.; Lobach, I.A.; Kablukov, S.I.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shd w:val="clear" w:color="auto" w:fill="ffffff"/>
                <w:lang w:val="en-US"/>
              </w:rPr>
              <w:t xml:space="preserve"> Fiber lasers based on dynamic population gratings in rare-earth-doped optical fibers //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  <w:shd w:val="clear" w:color="auto" w:fill="ffffff"/>
                <w:lang w:val="en-US"/>
              </w:rPr>
              <w:t xml:space="preserve">Photonics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shd w:val="clear" w:color="auto" w:fill="ffffff"/>
                <w:lang w:val="en-US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shd w:val="clear" w:color="auto" w:fill="ffffff"/>
                <w:lang w:val="en-US"/>
              </w:rPr>
              <w:t xml:space="preserve"> 2022. – Т. 9. – №. 9. – С. 613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</w:p>
          <w:p>
            <w:pPr>
              <w:pStyle w:val="856"/>
              <w:numPr>
                <w:ilvl w:val="0"/>
                <w:numId w:val="8"/>
              </w:numPr>
              <w:ind w:left="0" w:right="0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shd w:val="clear" w:color="auto" w:fill="ffffff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white"/>
              </w:rPr>
              <w:t xml:space="preserve">Poddubrovskii NR, Lobach IA, Kablukov SI.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shd w:val="clear" w:color="auto" w:fill="ffffff"/>
                <w:lang w:val="en-US"/>
              </w:rPr>
              <w:t xml:space="preserve">Signal processing in optical frequency domain reflectometry systems based on self-sweeping fiber laser with continuous-wave intensity dynamics //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  <w:shd w:val="clear" w:color="auto" w:fill="ffffff"/>
                <w:lang w:val="en-US"/>
              </w:rPr>
              <w:t xml:space="preserve">Algorithms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shd w:val="clear" w:color="auto" w:fill="ffffff"/>
                <w:lang w:val="en-US"/>
              </w:rPr>
              <w:t xml:space="preserve">. – 2023.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shd w:val="clear" w:color="auto" w:fill="ffffff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shd w:val="clear" w:color="auto" w:fill="ffffff"/>
                <w:lang w:val="en-US"/>
              </w:rPr>
              <w:t xml:space="preserve">. 16. – №. 5.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shd w:val="clear" w:color="auto" w:fill="ffffff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shd w:val="clear" w:color="auto" w:fill="ffffff"/>
                <w:lang w:val="en-US"/>
              </w:rPr>
              <w:t xml:space="preserve">. 260.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</w:p>
          <w:p>
            <w:pPr>
              <w:pStyle w:val="856"/>
              <w:numPr>
                <w:ilvl w:val="0"/>
                <w:numId w:val="8"/>
              </w:numPr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shd w:val="clear" w:color="auto" w:fill="ffffff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white"/>
              </w:rPr>
              <w:t xml:space="preserve">Poddubrovskii NR, Lobach IA, Kablukov SI.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shd w:val="clear" w:color="auto" w:fill="ffffff"/>
                <w:lang w:val="en-US"/>
              </w:rPr>
              <w:t xml:space="preserve">Microwave-free BOTDA based on a continuous-wave self-sweeping laser //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  <w:shd w:val="clear" w:color="auto" w:fill="ffffff"/>
                <w:lang w:val="en-US"/>
              </w:rPr>
              <w:t xml:space="preserve">Optics Letters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shd w:val="clear" w:color="auto" w:fill="ffffff"/>
                <w:lang w:val="en-US"/>
              </w:rPr>
              <w:t xml:space="preserve">. – 2024.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shd w:val="clear" w:color="auto" w:fill="ffffff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shd w:val="clear" w:color="auto" w:fill="ffffff"/>
                <w:lang w:val="en-US"/>
              </w:rPr>
              <w:t xml:space="preserve">. 49. – №. 2.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shd w:val="clear" w:color="auto" w:fill="ffffff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shd w:val="clear" w:color="auto" w:fill="ffffff"/>
                <w:lang w:val="en-US"/>
              </w:rPr>
              <w:t xml:space="preserve">. 282-285.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</w:tc>
      </w:tr>
      <w:tr>
        <w:tblPrEx/>
        <w:trPr/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Е.К. </w:t>
            </w:r>
            <w:r>
              <w:rPr>
                <w:rFonts w:ascii="Times New Roman" w:hAnsi="Times New Roman" w:eastAsia="Times New Roman" w:cs="Times New Roman" w:eastAsiaTheme="minorEastAsia"/>
                <w:i/>
                <w:iCs/>
                <w:color w:val="000000" w:themeColor="text1"/>
                <w:sz w:val="17"/>
                <w:szCs w:val="17"/>
              </w:rPr>
              <w:t xml:space="preserve">Каширина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  <w:highlight w:val="none"/>
              </w:rPr>
              <w:t xml:space="preserve">аспирант,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  <w:highlight w:val="none"/>
              </w:rPr>
              <w:t xml:space="preserve">18 лаб.,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  <w:highlight w:val="none"/>
              </w:rPr>
              <w:t xml:space="preserve">01.08.1997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И.А. Лобач,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С.И. Каблуков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Новый механизм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самосканирования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частоты волоконного лазера на основе колебаний положения динамических решеток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r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white"/>
              </w:rPr>
              <w:t xml:space="preserve">Kashirina, E.K.; Lobach, I.A.; Kablukov, S.I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Single-Frequency Continuous-Wave Self-Sweeping Fiber Laser Based on Separated Gain and Absorption Dynamics Gratings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"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Photonics. – MDPI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Vol. 10, No. 7, p. 843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2023)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white"/>
              </w:rPr>
              <w:t xml:space="preserve">Kashirina, E.K.; Lobach, I.A.; Kablukov, S.I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"Vibration-Induced Sweeping Operation in Fiber Lasers."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Photonics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</w:rPr>
              <w:t xml:space="preserve">. –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MDPI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Vol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. 11.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No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. 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, p. 731 (2024)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</w:tc>
      </w:tr>
      <w:tr>
        <w:tblPrEx/>
        <w:trPr/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Е.А. Добрынина аспирант,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04 лаб,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22.11.1999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17"/>
                <w:szCs w:val="17"/>
              </w:rPr>
              <w:t xml:space="preserve">В.А. Зыкова,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17"/>
                <w:szCs w:val="17"/>
              </w:rPr>
              <w:t xml:space="preserve">И.Ю. Журавлева,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17"/>
                <w:szCs w:val="17"/>
              </w:rPr>
              <w:t xml:space="preserve">Е.В. Кузнецова,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17"/>
                <w:szCs w:val="17"/>
              </w:rPr>
              <w:t xml:space="preserve">Н.В. Суровцев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Исследование медицинских образцов бычьей яремной вены и перикарда методом спектроскопии рассеяния Мандельштама-Бриллюэна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r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9"/>
              </w:numPr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E.A. Dobrynina, V.A. Zykova, I. Yu. Zhuravleva, E.V. Kuznetsova, N.V. Surovtsev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 “Brillouin spectroscopy of medically relevant samples of bovine jugular vein and pericardium”, Spectrochimica Acta Part A: Molecular and Biomolecular Spectroscopy. 124692 (2024)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</w:tc>
      </w:tr>
      <w:tr>
        <w:tblPrEx/>
        <w:trPr>
          <w:trHeight w:val="1702"/>
        </w:trPr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В. М. Волоси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 аспирант,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17 лаб.,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27.10.1999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И. Жданов,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Н. А. Коляда,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Д. С. Харенко,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С. А. Бабин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Генерация диссипативных ВКР-солитонов вблизи 1,7 мкм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r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4"/>
              </w:numPr>
              <w:contextualSpacing w:val="0"/>
              <w:ind w:left="0" w:right="0" w:firstLine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Генерация рамановских диссипативных солитонов вблизи 1,7 мкм с синхронной накачкой / Волоси В.М. и др., // 10 Международный семинар по волоконным лазерам: Новосибирск, 15–19 августа 2022 г. – Матер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иалы семинара, 2022. – С. 73-74.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pStyle w:val="856"/>
              <w:numPr>
                <w:ilvl w:val="0"/>
                <w:numId w:val="4"/>
              </w:numPr>
              <w:contextualSpacing w:val="0"/>
              <w:ind w:left="0" w:right="0" w:firstLine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7"/>
                <w:szCs w:val="17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7"/>
                <w:szCs w:val="17"/>
                <w:highlight w:val="white"/>
              </w:rPr>
              <w:t xml:space="preserve">Innokentiy Zhdanov, Vitali M. Volosi, Natalia A. Koliada, Denis S. Kharenko, Nazar A. Nikolaev, Sergei K. Turitsyn, and Sergey A. Babin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Raman dissipative soliton source of ultrashort pulses in NIR-III spectral window //Optics Express. – 2023. – Т. 31. – №. 21. – С. 35156-35163.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pStyle w:val="856"/>
              <w:numPr>
                <w:ilvl w:val="0"/>
                <w:numId w:val="4"/>
              </w:numPr>
              <w:contextualSpacing w:val="0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Исследов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ание параметров диссипативных ВКР-солитонов, генерируемых вблизи 1,7 мкм / В.М. Волоси и др. // Прикладная фотоника. – 2023. – Т. 10, № 7. – С. 67–80.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pStyle w:val="856"/>
              <w:numPr>
                <w:ilvl w:val="0"/>
                <w:numId w:val="4"/>
              </w:numPr>
              <w:contextualSpacing w:val="0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Volosi V. M., Kharenko D. S., Koliada N. A. Raman dissipative soliton parameters near 1.7 microns depending on external cavity dispersion //2024 International Conference Laser Optics (ICLO). – IEEE, 2024. – С. 5-5.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</w:tc>
      </w:tr>
      <w:tr>
        <w:tblPrEx/>
        <w:trPr>
          <w:trHeight w:val="425"/>
        </w:trPr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К.К. Облаухов инженер,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13 лаб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21.11.1991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М.М. Лаврентьев,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К.Ф. Лысаков,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М.Ю. Шадрин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Расчет трансокеанского цунами на персональном компьютере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r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0"/>
              </w:numPr>
              <w:contextualSpacing w:val="0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Lavrentiev, K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Lysakov, An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Marchuk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K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Oblaukhov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“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Fundamentals of Fast Tsunami Wave Parameter Determination Technology for Hazard Mitigation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Sensors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 22, 7630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(2022)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.  </w:t>
            </w:r>
            <w:hyperlink r:id="rId9" w:tooltip="https://doi.org/10.3390/s22197630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17"/>
                  <w:szCs w:val="17"/>
                  <w:highlight w:val="none"/>
                </w:rPr>
                <w:t xml:space="preserve">doi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17"/>
                  <w:szCs w:val="17"/>
                  <w:highlight w:val="none"/>
                </w:rPr>
                <w:t xml:space="preserve">: 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17"/>
                  <w:szCs w:val="17"/>
                  <w:highlight w:val="none"/>
                </w:rPr>
                <w:t xml:space="preserve">10.3390/s22197630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pStyle w:val="856"/>
              <w:numPr>
                <w:ilvl w:val="0"/>
                <w:numId w:val="10"/>
              </w:numPr>
              <w:contextualSpacing w:val="0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М. Лаврентьев, К. Лысаков, Ан. Марчук, К. Облаухов, М. Шадрин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“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Зависимость расчетных высот волн цунами от разрешения сетки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”,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</w:rPr>
              <w:t xml:space="preserve">Совр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</w:rPr>
              <w:t xml:space="preserve"> матем.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</w:rPr>
              <w:t xml:space="preserve">Фунд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</w:rPr>
              <w:t xml:space="preserve">напр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70,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(2024)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doi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: 22363/2413-3639-2024-70-2-327-342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</w:p>
          <w:p>
            <w:pPr>
              <w:pStyle w:val="856"/>
              <w:numPr>
                <w:ilvl w:val="0"/>
                <w:numId w:val="10"/>
              </w:numPr>
              <w:contextualSpacing w:val="0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M. Lavrentiev, An.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Marchuk, K.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Oblaukhov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M.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Shadrin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“Fast Numerical Solution to Nonlinear Shallow Water System”, NODYCON Conference Proceedings, Series Advances in Nonlinear Dynamics, Volume III, 2024, p. 553-563.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doi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: 10.1007/978-3-031-50635-2_51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</w:p>
          <w:p>
            <w:pPr>
              <w:pStyle w:val="856"/>
              <w:numPr>
                <w:ilvl w:val="0"/>
                <w:numId w:val="10"/>
              </w:numPr>
              <w:contextualSpacing w:val="0"/>
              <w:ind w:left="0"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M. Lavrentiev, An. Marchuk, K.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Oblaukhov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Low power computation of transoceanic wave propagation for tsunami hazard mitigation,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Ocean Modelling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 V. 192, December 2024, 102459.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oi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10.1016/j.ocemod.2024.102459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</w:tc>
      </w:tr>
      <w:tr>
        <w:tblPrEx/>
        <w:trPr/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О.В.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Коми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н аспирант,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т.г. т.05-1,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05.08.1997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О.В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Пелипасов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7"/>
                <w:szCs w:val="17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</w:rPr>
              <w:t xml:space="preserve">Исследование влияния газовой среды на параметры микроволновой плазмы и аналитические характеристики результатов определения элементов с её использованием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r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5"/>
              </w:numPr>
              <w:contextualSpacing w:val="0"/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O.V. Komin, O.V. Pelipasov,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“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Effect of 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vertAlign w:val="subscript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in plasma gas on parameters of nitrogen MIP-OES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Journal of Analytical Atomic Spectrometry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2022, vol.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37,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pp.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1533-1537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pStyle w:val="856"/>
              <w:numPr>
                <w:ilvl w:val="0"/>
                <w:numId w:val="5"/>
              </w:numPr>
              <w:contextualSpacing w:val="0"/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O.V. Komin, O.V. Pelipasov,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“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Continuation of investigation of effect of 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vertAlign w:val="subscript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in plasma gas on parameters of nitrogen microwave-induced plasma optical emission spectrometry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Spectrochimica Acta Part B: Atomic Spectroscopy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2023,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vol.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207,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p. 106742.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pStyle w:val="856"/>
              <w:numPr>
                <w:ilvl w:val="0"/>
                <w:numId w:val="5"/>
              </w:numPr>
              <w:contextualSpacing w:val="0"/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томно-эмиссионные спектрометры с азотной микроволновой плазмой Гранд-СВЧ / О.В.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Комин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[и др.] //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</w:rPr>
              <w:t xml:space="preserve">Аналитика и контроль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, 2024,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Т. 28, № 4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принята в печать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pStyle w:val="856"/>
              <w:numPr>
                <w:ilvl w:val="0"/>
                <w:numId w:val="5"/>
              </w:numPr>
              <w:contextualSpacing w:val="0"/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Комин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О.В.,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Пелипасов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О.В.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“Влияние кислорода на температуру и электронную плотность азотной микроволновой плазмы”,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Интерэкспо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ГЕО-Сибирь. X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VIII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Международный научный конгресс, 18–20 мая 2022 г., Новосибирск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: сборник материалов в 8 т. Т. 8: Национальная конференция с междун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ародным участием «СибОптика-2022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. Актуальные вопросы высокотехнологичных отраслей». – Новосибирск,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СГУГиТ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,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126-129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pStyle w:val="856"/>
              <w:numPr>
                <w:ilvl w:val="0"/>
                <w:numId w:val="5"/>
              </w:numPr>
              <w:contextualSpacing w:val="0"/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Ельчин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А.С.,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Комин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О.В.,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Пелипасов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О.В.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“Исследование влияния добавления аргона на параметры азотной микроволновой плазмы”,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Интерэкспо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ГЕО-Сибирь. XIX Международный научный конгресс, 17–19 мая 2023 г., Новосибирск: сборник материалов в 8 т. Т. 8: Национальная конференция с международным участием «СибОптика-2023. Актуальные вопросы высокотехнологичных отраслей». – Новосибирск,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СГУГиТ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, 2023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. 52-59.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pStyle w:val="856"/>
              <w:numPr>
                <w:ilvl w:val="0"/>
                <w:numId w:val="5"/>
              </w:numPr>
              <w:contextualSpacing w:val="0"/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Комин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О.В.,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Пелипасов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О.В.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“Влияние 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vertAlign w:val="sub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 и Ar на параметры азотной микроволновой плазмы оптического спектрометра "Гранд-СВЧ”, IV Всероссийская конференция по аналитической спектроскопии, Крас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нодар, 24–30 сентя</w:t>
            </w:r>
            <w:bookmarkStart w:id="0" w:name="_GoBack"/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bookmarkEnd w:id="0"/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бря 2023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</w:tc>
      </w:tr>
      <w:tr>
        <w:tblPrEx/>
        <w:trPr/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17"/>
                <w:szCs w:val="17"/>
              </w:rPr>
              <w:t xml:space="preserve">Симонов В.А.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17"/>
                <w:szCs w:val="17"/>
                <w:highlight w:val="none"/>
              </w:rPr>
              <w:t xml:space="preserve">к.ф.м.н,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17"/>
                <w:szCs w:val="17"/>
                <w:highlight w:val="none"/>
              </w:rPr>
              <w:t xml:space="preserve">17 лаб,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17"/>
                <w:szCs w:val="17"/>
                <w:highlight w:val="none"/>
              </w:rPr>
              <w:t xml:space="preserve">23.03.1989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17"/>
                <w:szCs w:val="17"/>
              </w:rPr>
              <w:t xml:space="preserve">Терентьев В.С.,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17"/>
                <w:szCs w:val="17"/>
              </w:rPr>
              <w:t xml:space="preserve">Достовалов А.В.,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17"/>
                <w:szCs w:val="17"/>
              </w:rPr>
              <w:t xml:space="preserve">Голубцов С.К.,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17"/>
                <w:szCs w:val="17"/>
              </w:rPr>
              <w:t xml:space="preserve">Кузнецов А.Г.,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17"/>
                <w:szCs w:val="17"/>
              </w:rPr>
              <w:t xml:space="preserve">Ризк Х.,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17"/>
                <w:szCs w:val="17"/>
              </w:rPr>
              <w:t xml:space="preserve">Бабин С.А.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</w:rPr>
              <w:t xml:space="preserve">МЕТОД ФОРМИРОВАНИЯ ОТРАЖАТЕЛЯ ЗАДАННОЙ ФОРМЫ В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</w:rPr>
              <w:t xml:space="preserve">МНОГОМОДОВОМ ВОЛОКНЕ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6"/>
              </w:numPr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Kuznetsov A.G., et al., «Raman lasing in multimode graded-index fiber with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mode-selective dielectric mirror on its end face», // SPIE Photonics Europe,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Proc. SPIE 13001, Specialty Optical Fibres VIII, 130010N (20 June 2024).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pStyle w:val="856"/>
              <w:numPr>
                <w:ilvl w:val="0"/>
                <w:numId w:val="6"/>
              </w:numPr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Gervaziev M.D. et al., «Mode dynamics of Raman lasing in multimode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graded-index fiber with mode-selective mirror for Stokes beam» // 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Conference on Lasers and Electro-Optics Pacific Rim (CLEO-PR). 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IEEE, 2024.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3. Терентьев В.С. И др., «Метод формирования отражателя заданной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формы в многомодовом волокне» // Международный семинар 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волоконным лазерам 2024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  <w:p>
            <w:pPr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ru-RU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Kuznetsov A. G. et al., «Raman Lasing and Transverse Mode Selection in 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Multimode Graded-Index Fiber with a Thin-Film Mirror on Its End Face»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//Micromachines. – 2024. – Т. 15. – №. 8. – С. 940.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</w:tc>
      </w:tr>
      <w:tr>
        <w:tblPrEx/>
        <w:trPr/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Ж.Э. Мункуева аспирант,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17 лаб,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02.12.1999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А.Д. Достовалов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А.Г. Кузнецов,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К.А. Бронников,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Е.В. Голиков,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П.А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Елизарова,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И.Н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Немов,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Ревякин,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Д.С. Харенко,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17"/>
                <w:szCs w:val="17"/>
              </w:rPr>
              <w:t xml:space="preserve">С.А. Бабин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емтосекундн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ая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лазерн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ая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запись искусственных неоднородностей показателя преломления в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оптическом волокне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для лазерных и сенсорных применений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r>
          </w:p>
        </w:tc>
        <w:tc>
          <w:tcPr>
            <w:tcW w:w="8220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ind w:left="0" w:right="0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Alexandr Dostovalov, Alexey Wolf, Zhibzema Munkueva, Mikhail Skvortsov, Sofia Abdullina, Aleksey Kuznetsov, Sergey Babin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 "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Continuous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and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discrete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point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Rayleigh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reflectors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inscribed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by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femtosecond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pulses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in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singlemode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and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multimode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fibers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,"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Opt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Laser Technol.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167, 109692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(2023)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</w:p>
          <w:p>
            <w:pPr>
              <w:pStyle w:val="856"/>
              <w:numPr>
                <w:ilvl w:val="0"/>
                <w:numId w:val="11"/>
              </w:numPr>
              <w:ind w:left="0" w:right="0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Zh. Munkueva, A. Dostovalov, K. Bronnikov, E. Golikov, O. Egorova, S. Semjonov, S. Babin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3D shape sensor based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on discrete-point Rayleigh reflectors inscribed by femtosecond pulses in multicore fibers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Sens. actuators. A Phys.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379, 115946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(2024)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</w:p>
          <w:p>
            <w:pPr>
              <w:pStyle w:val="856"/>
              <w:numPr>
                <w:ilvl w:val="0"/>
                <w:numId w:val="11"/>
              </w:numPr>
              <w:ind w:left="0" w:right="0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white"/>
              </w:rPr>
              <w:t xml:space="preserve">Kuznetsov, A.G.; Munkueva, Z.E.; Dostovalov, A.V.; Kokhanovskiy, A.Y.; Elizarova, P.A.; Nemov, I.N.; Revyakin, A.A.; Kharenko, D.S.; Babin,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Random Raman Lasing in Diode-Pumped Multi-Mode Graded-Index Fiber with Femtosecond Laser-Inscribed Random Refractive Index Structures of Various Shapes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Photonics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981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(2024)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</w:p>
          <w:p>
            <w:pPr>
              <w:pStyle w:val="856"/>
              <w:numPr>
                <w:ilvl w:val="0"/>
                <w:numId w:val="11"/>
              </w:numPr>
              <w:ind w:left="0" w:right="0" w:firstLine="0"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Zhibzema E.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Munkueva, et al. "Ring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-shaped random structures inscription in multimode fibers assisted by a spatial light modulator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"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Advanced Laser Processing and Manufacturing VIII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szCs w:val="17"/>
                <w:highlight w:val="none"/>
                <w:lang w:val="en-US"/>
              </w:rPr>
              <w:t xml:space="preserve"> Vol. 13234. SPIE, 2024.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none"/>
              </w:rPr>
            </w:r>
          </w:p>
        </w:tc>
      </w:tr>
    </w:tbl>
    <w:p>
      <w:r/>
      <w:r/>
    </w:p>
    <w:p>
      <w:r/>
      <w:r/>
    </w:p>
    <w:p>
      <w:pPr>
        <w:jc w:val="center"/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  <w:highlight w:val="yellow"/>
        </w:rPr>
      </w:r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17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No Spacing"/>
    <w:basedOn w:val="852"/>
    <w:uiPriority w:val="1"/>
    <w:qFormat/>
    <w:pPr>
      <w:spacing w:after="0" w:line="240" w:lineRule="auto"/>
    </w:pPr>
  </w:style>
  <w:style w:type="paragraph" w:styleId="856">
    <w:name w:val="List Paragraph"/>
    <w:basedOn w:val="852"/>
    <w:uiPriority w:val="34"/>
    <w:qFormat/>
    <w:pPr>
      <w:contextualSpacing/>
      <w:ind w:left="720"/>
    </w:pPr>
  </w:style>
  <w:style w:type="character" w:styleId="857" w:default="1">
    <w:name w:val="Default Paragraph Font"/>
    <w:uiPriority w:val="1"/>
    <w:semiHidden/>
    <w:unhideWhenUsed/>
  </w:style>
  <w:style w:type="paragraph" w:styleId="858" w:customStyle="1">
    <w:name w:val="Normal (Web)"/>
    <w:basedOn w:val="854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oi.org/10.3390/s2219763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2024-12-05T10:56:08Z</dcterms:modified>
</cp:coreProperties>
</file>